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Ind w:w="-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"/>
        <w:gridCol w:w="9218"/>
      </w:tblGrid>
      <w:tr w:rsidR="00512AB8" w:rsidRPr="00512AB8" w:rsidTr="00732D32">
        <w:trPr>
          <w:trHeight w:val="1124"/>
        </w:trPr>
        <w:tc>
          <w:tcPr>
            <w:tcW w:w="8780" w:type="dxa"/>
          </w:tcPr>
          <w:p w:rsidR="00512AB8" w:rsidRPr="00512AB8" w:rsidRDefault="00512AB8" w:rsidP="0026473E">
            <w:pPr>
              <w:rPr>
                <w:rFonts w:asciiTheme="majorHAnsi" w:hAnsiTheme="majorHAnsi"/>
                <w:color w:val="006852" w:themeColor="text1"/>
                <w:sz w:val="20"/>
                <w:szCs w:val="20"/>
              </w:rPr>
            </w:pPr>
          </w:p>
        </w:tc>
        <w:tc>
          <w:tcPr>
            <w:tcW w:w="222" w:type="dxa"/>
          </w:tcPr>
          <w:p w:rsidR="00512AB8" w:rsidRPr="00512AB8" w:rsidRDefault="00732D32" w:rsidP="0026473E">
            <w:pPr>
              <w:rPr>
                <w:rFonts w:asciiTheme="majorHAnsi" w:hAnsiTheme="majorHAnsi"/>
                <w:color w:val="006852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B4EE2D" wp14:editId="7B21EBDE">
                  <wp:extent cx="5716270" cy="798830"/>
                  <wp:effectExtent l="0" t="0" r="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270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C08" w:rsidRPr="00017381" w:rsidRDefault="00192C08">
      <w:pPr>
        <w:rPr>
          <w:rFonts w:asciiTheme="majorHAnsi" w:hAnsiTheme="majorHAnsi"/>
          <w:color w:val="006852" w:themeColor="text1"/>
          <w:sz w:val="24"/>
          <w:szCs w:val="24"/>
        </w:rPr>
      </w:pPr>
      <w:r w:rsidRPr="00017381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57744" wp14:editId="663D4384">
                <wp:simplePos x="0" y="0"/>
                <wp:positionH relativeFrom="column">
                  <wp:posOffset>-24765</wp:posOffset>
                </wp:positionH>
                <wp:positionV relativeFrom="paragraph">
                  <wp:posOffset>81810</wp:posOffset>
                </wp:positionV>
                <wp:extent cx="1945005" cy="163830"/>
                <wp:effectExtent l="0" t="0" r="0" b="762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6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C08" w:rsidRDefault="00192C08" w:rsidP="00192C08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  <w:proofErr w:type="gramStart"/>
                            <w:r w:rsidRPr="00CF502C">
                              <w:rPr>
                                <w:color w:val="575756"/>
                                <w:sz w:val="20"/>
                              </w:rPr>
                              <w:t>Madrid  |</w:t>
                            </w:r>
                            <w:proofErr w:type="gramEnd"/>
                            <w:r w:rsidRPr="00CF502C">
                              <w:rPr>
                                <w:color w:val="575756"/>
                                <w:sz w:val="20"/>
                              </w:rPr>
                              <w:t xml:space="preserve">  </w:t>
                            </w:r>
                            <w:r w:rsidR="00482598">
                              <w:rPr>
                                <w:color w:val="575756"/>
                                <w:sz w:val="20"/>
                              </w:rPr>
                              <w:t>1</w:t>
                            </w:r>
                            <w:r w:rsidR="00EC724E">
                              <w:rPr>
                                <w:color w:val="575756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 xml:space="preserve"> </w:t>
                            </w:r>
                            <w:r w:rsidR="00EC724E">
                              <w:rPr>
                                <w:color w:val="575756"/>
                                <w:sz w:val="20"/>
                              </w:rPr>
                              <w:t>Octubre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 xml:space="preserve"> 201</w:t>
                            </w:r>
                            <w:r w:rsidR="00482598">
                              <w:rPr>
                                <w:color w:val="575756"/>
                                <w:sz w:val="20"/>
                              </w:rPr>
                              <w:t>8</w:t>
                            </w:r>
                          </w:p>
                          <w:p w:rsidR="008151F6" w:rsidRDefault="008151F6" w:rsidP="00192C08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</w:p>
                          <w:p w:rsidR="008151F6" w:rsidRPr="00CF502C" w:rsidRDefault="008151F6" w:rsidP="00192C08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57744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-1.95pt;margin-top:6.45pt;width:153.1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" filled="f" stroked="f" strokeweight=".5pt">
                <v:textbox inset="0,0,0,0">
                  <w:txbxContent>
                    <w:p w:rsidR="00192C08" w:rsidRDefault="00192C08" w:rsidP="00192C08">
                      <w:pPr>
                        <w:rPr>
                          <w:color w:val="575756"/>
                          <w:sz w:val="20"/>
                        </w:rPr>
                      </w:pPr>
                      <w:proofErr w:type="gramStart"/>
                      <w:r w:rsidRPr="00CF502C">
                        <w:rPr>
                          <w:color w:val="575756"/>
                          <w:sz w:val="20"/>
                        </w:rPr>
                        <w:t>Madrid  |</w:t>
                      </w:r>
                      <w:proofErr w:type="gramEnd"/>
                      <w:r w:rsidRPr="00CF502C">
                        <w:rPr>
                          <w:color w:val="575756"/>
                          <w:sz w:val="20"/>
                        </w:rPr>
                        <w:t xml:space="preserve">  </w:t>
                      </w:r>
                      <w:r w:rsidR="00482598">
                        <w:rPr>
                          <w:color w:val="575756"/>
                          <w:sz w:val="20"/>
                        </w:rPr>
                        <w:t>1</w:t>
                      </w:r>
                      <w:r w:rsidR="00EC724E">
                        <w:rPr>
                          <w:color w:val="575756"/>
                          <w:sz w:val="20"/>
                        </w:rPr>
                        <w:t>8</w:t>
                      </w:r>
                      <w:r>
                        <w:rPr>
                          <w:color w:val="575756"/>
                          <w:sz w:val="20"/>
                        </w:rPr>
                        <w:t xml:space="preserve"> </w:t>
                      </w:r>
                      <w:r w:rsidR="00EC724E">
                        <w:rPr>
                          <w:color w:val="575756"/>
                          <w:sz w:val="20"/>
                        </w:rPr>
                        <w:t>Octubre</w:t>
                      </w:r>
                      <w:r>
                        <w:rPr>
                          <w:color w:val="575756"/>
                          <w:sz w:val="20"/>
                        </w:rPr>
                        <w:t xml:space="preserve"> 201</w:t>
                      </w:r>
                      <w:r w:rsidR="00482598">
                        <w:rPr>
                          <w:color w:val="575756"/>
                          <w:sz w:val="20"/>
                        </w:rPr>
                        <w:t>8</w:t>
                      </w:r>
                    </w:p>
                    <w:p w:rsidR="008151F6" w:rsidRDefault="008151F6" w:rsidP="00192C08">
                      <w:pPr>
                        <w:rPr>
                          <w:color w:val="575756"/>
                          <w:sz w:val="20"/>
                        </w:rPr>
                      </w:pPr>
                    </w:p>
                    <w:p w:rsidR="008151F6" w:rsidRPr="00CF502C" w:rsidRDefault="008151F6" w:rsidP="00192C08">
                      <w:pPr>
                        <w:rPr>
                          <w:color w:val="575756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F2C" w:rsidRPr="008151F6" w:rsidRDefault="006A7F2C" w:rsidP="00433DBE">
      <w:pPr>
        <w:jc w:val="both"/>
        <w:rPr>
          <w:rFonts w:asciiTheme="majorHAnsi" w:hAnsiTheme="majorHAnsi"/>
          <w:color w:val="006852" w:themeColor="text1"/>
          <w:sz w:val="24"/>
          <w:szCs w:val="24"/>
        </w:rPr>
      </w:pPr>
    </w:p>
    <w:p w:rsidR="00433DBE" w:rsidRDefault="00EF171F" w:rsidP="00433DBE">
      <w:pPr>
        <w:jc w:val="both"/>
        <w:rPr>
          <w:rFonts w:asciiTheme="majorHAnsi" w:hAnsiTheme="majorHAnsi"/>
          <w:color w:val="006852" w:themeColor="text1"/>
          <w:sz w:val="48"/>
          <w:szCs w:val="48"/>
        </w:rPr>
      </w:pPr>
      <w:r>
        <w:rPr>
          <w:rFonts w:asciiTheme="majorHAnsi" w:hAnsiTheme="majorHAnsi"/>
          <w:color w:val="006852" w:themeColor="text1"/>
          <w:sz w:val="48"/>
          <w:szCs w:val="48"/>
        </w:rPr>
        <w:t xml:space="preserve">Posición de </w:t>
      </w:r>
      <w:r w:rsidR="00571128">
        <w:rPr>
          <w:rFonts w:asciiTheme="majorHAnsi" w:hAnsiTheme="majorHAnsi"/>
          <w:color w:val="006852" w:themeColor="text1"/>
          <w:sz w:val="48"/>
          <w:szCs w:val="48"/>
        </w:rPr>
        <w:t>la AEB, CECA y UNACC</w:t>
      </w:r>
      <w:r>
        <w:rPr>
          <w:rFonts w:asciiTheme="majorHAnsi" w:hAnsiTheme="majorHAnsi"/>
          <w:color w:val="006852" w:themeColor="text1"/>
          <w:sz w:val="48"/>
          <w:szCs w:val="48"/>
        </w:rPr>
        <w:t xml:space="preserve"> sobre la sentencia del </w:t>
      </w:r>
      <w:r w:rsidR="00C05945">
        <w:rPr>
          <w:rFonts w:asciiTheme="majorHAnsi" w:hAnsiTheme="majorHAnsi"/>
          <w:color w:val="006852" w:themeColor="text1"/>
          <w:sz w:val="48"/>
          <w:szCs w:val="48"/>
        </w:rPr>
        <w:t>TS acerca del impuesto en la constitución de hipotecas</w:t>
      </w:r>
    </w:p>
    <w:p w:rsidR="006A7F2C" w:rsidRDefault="006A7F2C" w:rsidP="00D07B83">
      <w:pPr>
        <w:rPr>
          <w:rFonts w:asciiTheme="majorHAnsi" w:hAnsiTheme="majorHAnsi"/>
          <w:color w:val="5A5A5A"/>
          <w:sz w:val="24"/>
          <w:szCs w:val="24"/>
        </w:rPr>
      </w:pPr>
    </w:p>
    <w:p w:rsidR="00EF171F" w:rsidRDefault="00EF171F" w:rsidP="00EF171F">
      <w:p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  <w:r>
        <w:rPr>
          <w:rFonts w:asciiTheme="majorHAnsi" w:hAnsiTheme="majorHAnsi"/>
          <w:color w:val="5A5A5A"/>
          <w:sz w:val="20"/>
          <w:szCs w:val="20"/>
        </w:rPr>
        <w:t>En relación con la sentencia 1505/2018 de la Sala de lo Contencioso Administrativo del Tribunal Supremo con fecha 16 de octubre, la AEB y la CECA desean manifestar lo siguiente:</w:t>
      </w:r>
    </w:p>
    <w:p w:rsidR="00EF171F" w:rsidRDefault="00EF171F" w:rsidP="00EF171F">
      <w:p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</w:p>
    <w:p w:rsidR="00EF171F" w:rsidRPr="00AB58CC" w:rsidRDefault="00EF171F" w:rsidP="00AB58CC">
      <w:pPr>
        <w:pStyle w:val="Prrafodelista"/>
        <w:numPr>
          <w:ilvl w:val="0"/>
          <w:numId w:val="3"/>
        </w:numPr>
        <w:spacing w:after="25" w:line="360" w:lineRule="auto"/>
        <w:jc w:val="both"/>
        <w:rPr>
          <w:rFonts w:asciiTheme="majorHAnsi" w:hAnsiTheme="majorHAnsi" w:cstheme="minorBidi"/>
          <w:color w:val="5A5A5A"/>
          <w:sz w:val="20"/>
          <w:szCs w:val="20"/>
        </w:rPr>
      </w:pPr>
      <w:r w:rsidRPr="00AB58CC">
        <w:rPr>
          <w:rFonts w:asciiTheme="majorHAnsi" w:hAnsiTheme="majorHAnsi" w:cstheme="minorBidi"/>
          <w:color w:val="5A5A5A"/>
          <w:sz w:val="20"/>
          <w:szCs w:val="20"/>
        </w:rPr>
        <w:t xml:space="preserve">La </w:t>
      </w:r>
      <w:r w:rsidR="00040F97" w:rsidRPr="00AB58CC">
        <w:rPr>
          <w:rFonts w:asciiTheme="majorHAnsi" w:hAnsiTheme="majorHAnsi"/>
          <w:color w:val="5A5A5A"/>
          <w:sz w:val="20"/>
          <w:szCs w:val="20"/>
        </w:rPr>
        <w:t>sentencia publicada en el día de hoy se refiere a una cuestión de naturaleza tributaria</w:t>
      </w:r>
      <w:r w:rsidRPr="00AB58CC">
        <w:rPr>
          <w:rFonts w:asciiTheme="majorHAnsi" w:hAnsiTheme="majorHAnsi" w:cstheme="minorBidi"/>
          <w:color w:val="5A5A5A"/>
          <w:sz w:val="20"/>
          <w:szCs w:val="20"/>
        </w:rPr>
        <w:t>.  </w:t>
      </w:r>
    </w:p>
    <w:p w:rsidR="00EF171F" w:rsidRPr="00EF171F" w:rsidRDefault="00EF171F" w:rsidP="00EF171F">
      <w:p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</w:p>
    <w:p w:rsidR="00EF171F" w:rsidRPr="00AB58CC" w:rsidRDefault="007E01D0" w:rsidP="00AB58CC">
      <w:pPr>
        <w:pStyle w:val="Prrafodelista"/>
        <w:numPr>
          <w:ilvl w:val="0"/>
          <w:numId w:val="3"/>
        </w:numPr>
        <w:spacing w:after="25" w:line="360" w:lineRule="auto"/>
        <w:jc w:val="both"/>
        <w:rPr>
          <w:rFonts w:asciiTheme="majorHAnsi" w:hAnsiTheme="majorHAnsi" w:cstheme="minorBidi"/>
          <w:color w:val="5A5A5A"/>
          <w:sz w:val="20"/>
          <w:szCs w:val="20"/>
        </w:rPr>
      </w:pPr>
      <w:r w:rsidRPr="00AB58CC">
        <w:rPr>
          <w:rFonts w:asciiTheme="majorHAnsi" w:hAnsiTheme="majorHAnsi"/>
          <w:color w:val="5A5A5A"/>
          <w:sz w:val="20"/>
          <w:szCs w:val="20"/>
        </w:rPr>
        <w:t>En este ámbito, los bancos han cumplido siempre con la normativa vigente</w:t>
      </w:r>
      <w:r w:rsidR="009F1467">
        <w:rPr>
          <w:rFonts w:asciiTheme="majorHAnsi" w:hAnsiTheme="majorHAnsi"/>
          <w:color w:val="5A5A5A"/>
          <w:sz w:val="20"/>
          <w:szCs w:val="20"/>
        </w:rPr>
        <w:t xml:space="preserve"> aprobada hace</w:t>
      </w:r>
      <w:r w:rsidR="00507D3C">
        <w:rPr>
          <w:rFonts w:asciiTheme="majorHAnsi" w:hAnsiTheme="majorHAnsi"/>
          <w:color w:val="5A5A5A"/>
          <w:sz w:val="20"/>
          <w:szCs w:val="20"/>
        </w:rPr>
        <w:t xml:space="preserve"> más de 20</w:t>
      </w:r>
      <w:r w:rsidR="009F1467">
        <w:rPr>
          <w:rFonts w:asciiTheme="majorHAnsi" w:hAnsiTheme="majorHAnsi"/>
          <w:color w:val="5A5A5A"/>
          <w:sz w:val="20"/>
          <w:szCs w:val="20"/>
        </w:rPr>
        <w:t xml:space="preserve"> años</w:t>
      </w:r>
      <w:r w:rsidRPr="00AB58CC">
        <w:rPr>
          <w:rFonts w:asciiTheme="majorHAnsi" w:hAnsiTheme="majorHAnsi"/>
          <w:color w:val="5A5A5A"/>
          <w:sz w:val="20"/>
          <w:szCs w:val="20"/>
        </w:rPr>
        <w:t xml:space="preserve"> y </w:t>
      </w:r>
      <w:r w:rsidR="007F1A02">
        <w:rPr>
          <w:rFonts w:asciiTheme="majorHAnsi" w:hAnsiTheme="majorHAnsi"/>
          <w:color w:val="5A5A5A"/>
          <w:sz w:val="20"/>
          <w:szCs w:val="20"/>
        </w:rPr>
        <w:t xml:space="preserve">con </w:t>
      </w:r>
      <w:r w:rsidRPr="00AB58CC">
        <w:rPr>
          <w:rFonts w:asciiTheme="majorHAnsi" w:hAnsiTheme="majorHAnsi"/>
          <w:color w:val="5A5A5A"/>
          <w:sz w:val="20"/>
          <w:szCs w:val="20"/>
        </w:rPr>
        <w:t>la reiterada jurisprudencia de la Sala 3ª del Tribunal Supremo y del Tribunal Constitucional, unánime, y mantenida hasta fechas muy recientes, principio que por lo demás ha presidido siempre las relaciones de las entidades con sus clientes</w:t>
      </w:r>
      <w:r w:rsidR="00C05945" w:rsidRPr="00AB58CC">
        <w:rPr>
          <w:rFonts w:asciiTheme="majorHAnsi" w:hAnsiTheme="majorHAnsi"/>
          <w:color w:val="5A5A5A"/>
          <w:sz w:val="20"/>
          <w:szCs w:val="20"/>
        </w:rPr>
        <w:t>.</w:t>
      </w:r>
    </w:p>
    <w:p w:rsidR="00EF171F" w:rsidRPr="00EF171F" w:rsidRDefault="00EF171F" w:rsidP="00EF171F">
      <w:p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</w:p>
    <w:p w:rsidR="00EF171F" w:rsidRDefault="00EF171F" w:rsidP="00AB58CC">
      <w:pPr>
        <w:pStyle w:val="Prrafodelista"/>
        <w:numPr>
          <w:ilvl w:val="0"/>
          <w:numId w:val="3"/>
        </w:num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  <w:r w:rsidRPr="00AB58CC">
        <w:rPr>
          <w:rFonts w:asciiTheme="majorHAnsi" w:hAnsiTheme="majorHAnsi" w:cstheme="minorBidi"/>
          <w:color w:val="5A5A5A"/>
          <w:sz w:val="20"/>
          <w:szCs w:val="20"/>
        </w:rPr>
        <w:t>L</w:t>
      </w:r>
      <w:r w:rsidR="00507D3C">
        <w:rPr>
          <w:rFonts w:asciiTheme="majorHAnsi" w:hAnsiTheme="majorHAnsi"/>
          <w:color w:val="5A5A5A"/>
          <w:sz w:val="20"/>
          <w:szCs w:val="20"/>
        </w:rPr>
        <w:t xml:space="preserve">as entidades de crédito </w:t>
      </w:r>
      <w:r w:rsidR="007E01D0" w:rsidRPr="00AB58CC">
        <w:rPr>
          <w:rFonts w:asciiTheme="majorHAnsi" w:hAnsiTheme="majorHAnsi"/>
          <w:color w:val="5A5A5A"/>
          <w:sz w:val="20"/>
          <w:szCs w:val="20"/>
        </w:rPr>
        <w:t>no han percibido cantidad alguna de sus clientes por este concepto</w:t>
      </w:r>
      <w:r w:rsidR="00F95FCC" w:rsidRPr="00AB58CC">
        <w:rPr>
          <w:rFonts w:asciiTheme="majorHAnsi" w:hAnsiTheme="majorHAnsi"/>
          <w:color w:val="5A5A5A"/>
          <w:sz w:val="20"/>
          <w:szCs w:val="20"/>
        </w:rPr>
        <w:t>.</w:t>
      </w:r>
    </w:p>
    <w:p w:rsidR="007E01D0" w:rsidRDefault="007E01D0" w:rsidP="00EF171F">
      <w:p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</w:p>
    <w:p w:rsidR="006A7F2C" w:rsidRDefault="007E01D0" w:rsidP="00AB58CC">
      <w:pPr>
        <w:pStyle w:val="Prrafodelista"/>
        <w:numPr>
          <w:ilvl w:val="0"/>
          <w:numId w:val="3"/>
        </w:num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  <w:r w:rsidRPr="00AB58CC">
        <w:rPr>
          <w:rFonts w:asciiTheme="majorHAnsi" w:hAnsiTheme="majorHAnsi"/>
          <w:color w:val="5A5A5A"/>
          <w:sz w:val="20"/>
          <w:szCs w:val="20"/>
        </w:rPr>
        <w:t xml:space="preserve">Como siempre han hecho, </w:t>
      </w:r>
      <w:r w:rsidR="00202B55">
        <w:rPr>
          <w:rFonts w:asciiTheme="majorHAnsi" w:hAnsiTheme="majorHAnsi"/>
          <w:color w:val="5A5A5A"/>
          <w:sz w:val="20"/>
          <w:szCs w:val="20"/>
        </w:rPr>
        <w:t>los bancos</w:t>
      </w:r>
      <w:r w:rsidRPr="00AB58CC">
        <w:rPr>
          <w:rFonts w:asciiTheme="majorHAnsi" w:hAnsiTheme="majorHAnsi"/>
          <w:color w:val="5A5A5A"/>
          <w:sz w:val="20"/>
          <w:szCs w:val="20"/>
        </w:rPr>
        <w:t>, a partir de esta sentencia, cumplirán con el nuevo criterio establecido por el Tribunal Supremo.</w:t>
      </w:r>
    </w:p>
    <w:p w:rsidR="006A7F2C" w:rsidRDefault="006A7F2C">
      <w:pPr>
        <w:rPr>
          <w:rFonts w:asciiTheme="majorHAnsi" w:hAnsiTheme="majorHAnsi" w:cs="Calibri"/>
          <w:color w:val="5A5A5A"/>
          <w:sz w:val="20"/>
          <w:szCs w:val="20"/>
        </w:rPr>
      </w:pPr>
      <w:r>
        <w:rPr>
          <w:rFonts w:asciiTheme="majorHAnsi" w:hAnsiTheme="majorHAnsi"/>
          <w:color w:val="5A5A5A"/>
          <w:sz w:val="20"/>
          <w:szCs w:val="20"/>
        </w:rPr>
        <w:br w:type="page"/>
      </w:r>
    </w:p>
    <w:p w:rsidR="00202B55" w:rsidRDefault="00202B55" w:rsidP="00202B55">
      <w:p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</w:p>
    <w:p w:rsidR="006A7F2C" w:rsidRDefault="006A7F2C" w:rsidP="00202B55">
      <w:pPr>
        <w:spacing w:after="25" w:line="360" w:lineRule="auto"/>
        <w:jc w:val="both"/>
        <w:rPr>
          <w:rFonts w:asciiTheme="majorHAnsi" w:hAnsiTheme="majorHAnsi"/>
          <w:color w:val="5A5A5A"/>
          <w:sz w:val="20"/>
          <w:szCs w:val="20"/>
        </w:rPr>
      </w:pPr>
    </w:p>
    <w:p w:rsidR="000C1772" w:rsidRPr="00202B55" w:rsidRDefault="0061368D" w:rsidP="00202B55">
      <w:pPr>
        <w:spacing w:after="25" w:line="360" w:lineRule="auto"/>
        <w:jc w:val="both"/>
        <w:rPr>
          <w:rFonts w:asciiTheme="majorHAnsi" w:hAnsiTheme="majorHAnsi" w:cs="Calibri"/>
          <w:color w:val="5A5A5A"/>
          <w:sz w:val="20"/>
          <w:szCs w:val="20"/>
        </w:rPr>
      </w:pPr>
      <w:r w:rsidRPr="00202B55">
        <w:rPr>
          <w:rFonts w:asciiTheme="majorHAnsi" w:hAnsiTheme="majorHAnsi"/>
          <w:color w:val="5A5A5A"/>
          <w:sz w:val="20"/>
          <w:szCs w:val="20"/>
        </w:rPr>
        <w:t>Desde las principales asociaciones bancarias reclamamos a los poderes púb</w:t>
      </w:r>
      <w:r w:rsidR="00507D3C" w:rsidRPr="00202B55">
        <w:rPr>
          <w:rFonts w:asciiTheme="majorHAnsi" w:hAnsiTheme="majorHAnsi"/>
          <w:color w:val="5A5A5A"/>
          <w:sz w:val="20"/>
          <w:szCs w:val="20"/>
        </w:rPr>
        <w:t>l</w:t>
      </w:r>
      <w:r w:rsidRPr="00202B55">
        <w:rPr>
          <w:rFonts w:asciiTheme="majorHAnsi" w:hAnsiTheme="majorHAnsi"/>
          <w:color w:val="5A5A5A"/>
          <w:sz w:val="20"/>
          <w:szCs w:val="20"/>
        </w:rPr>
        <w:t xml:space="preserve">icos mayor seguridad jurídica </w:t>
      </w:r>
      <w:r w:rsidR="00507D3C" w:rsidRPr="00202B55">
        <w:rPr>
          <w:rFonts w:asciiTheme="majorHAnsi" w:hAnsiTheme="majorHAnsi"/>
          <w:color w:val="5A5A5A"/>
          <w:sz w:val="20"/>
          <w:szCs w:val="20"/>
        </w:rPr>
        <w:t xml:space="preserve">y unas reglas claras y predecibles para el mercado hipotecario. Este mercado, caracterizado por unos tipos de interés competitivos y unos plazos largos, ha permitido el acceso a la vivienda en propiedad a un amplio espectro de población. </w:t>
      </w:r>
    </w:p>
    <w:p w:rsidR="00792CBA" w:rsidRDefault="00792CBA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  <w:bookmarkStart w:id="0" w:name="_GoBack"/>
      <w:bookmarkEnd w:id="0"/>
    </w:p>
    <w:p w:rsidR="00DF29AB" w:rsidRDefault="00DF29AB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</w:p>
    <w:p w:rsidR="00DF29AB" w:rsidRDefault="00DF29AB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</w:p>
    <w:p w:rsidR="00DF29AB" w:rsidRDefault="00DF29AB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</w:p>
    <w:p w:rsidR="00DF29AB" w:rsidRDefault="00DF29AB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</w:p>
    <w:p w:rsidR="00DF29AB" w:rsidRDefault="00DF29AB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</w:p>
    <w:p w:rsidR="008C3640" w:rsidRDefault="008C3640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</w:p>
    <w:p w:rsidR="00792CBA" w:rsidRPr="00AF3BA6" w:rsidRDefault="00792CBA" w:rsidP="000F52CD">
      <w:pPr>
        <w:pStyle w:val="NormalWeb"/>
        <w:shd w:val="clear" w:color="auto" w:fill="FFFFFF"/>
        <w:spacing w:before="0" w:beforeAutospacing="0" w:after="225" w:afterAutospacing="0" w:line="360" w:lineRule="auto"/>
        <w:jc w:val="both"/>
      </w:pPr>
    </w:p>
    <w:p w:rsidR="00AF3BA6" w:rsidRPr="00AF3BA6" w:rsidRDefault="00CC238C" w:rsidP="00AF3BA6">
      <w:pPr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761E8" wp14:editId="5D83CF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8325" cy="569343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325" cy="569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38C" w:rsidRDefault="008714CD" w:rsidP="00CC238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Departamento </w:t>
                            </w:r>
                            <w:r w:rsidR="00CC238C" w:rsidRPr="00192C08">
                              <w:rPr>
                                <w:sz w:val="20"/>
                              </w:rPr>
                              <w:t>de Comunicación</w:t>
                            </w:r>
                            <w:r w:rsidR="00CC238C">
                              <w:rPr>
                                <w:sz w:val="20"/>
                              </w:rPr>
                              <w:t xml:space="preserve"> AEB</w:t>
                            </w:r>
                          </w:p>
                          <w:p w:rsidR="00CC238C" w:rsidRDefault="00CC238C" w:rsidP="00CC238C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  <w:r w:rsidRPr="00AF3BA6">
                              <w:rPr>
                                <w:color w:val="575756"/>
                                <w:sz w:val="20"/>
                              </w:rPr>
                              <w:t>Tel.: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 xml:space="preserve"> </w:t>
                            </w:r>
                            <w:r w:rsidRPr="00AF3BA6">
                              <w:rPr>
                                <w:color w:val="575756"/>
                                <w:sz w:val="20"/>
                              </w:rPr>
                              <w:t xml:space="preserve">917 891 311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 xml:space="preserve">– </w:t>
                            </w:r>
                            <w:hyperlink r:id="rId8" w:history="1">
                              <w:r w:rsidRPr="007969B8">
                                <w:rPr>
                                  <w:rStyle w:val="Hipervnculo"/>
                                  <w:sz w:val="20"/>
                                </w:rPr>
                                <w:t>comunicacion@aebanca.es</w:t>
                              </w:r>
                            </w:hyperlink>
                          </w:p>
                          <w:p w:rsidR="00CC238C" w:rsidRDefault="00CC238C" w:rsidP="00CC238C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</w:p>
                          <w:p w:rsidR="00CC238C" w:rsidRDefault="00CC238C" w:rsidP="00CC238C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  <w:r w:rsidRPr="00CC238C">
                              <w:rPr>
                                <w:rStyle w:val="Hipervnculo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0CFEEBF" wp14:editId="2406F692">
                                  <wp:extent cx="5598795" cy="555273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95" cy="555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238C" w:rsidRDefault="00CC238C" w:rsidP="00CC238C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</w:p>
                          <w:p w:rsidR="00CC238C" w:rsidRPr="00AF3BA6" w:rsidRDefault="00CC238C" w:rsidP="00CC238C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761E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0;margin-top:0;width:455.75pt;height:4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" filled="f" stroked="f" strokeweight=".5pt">
                <v:textbox>
                  <w:txbxContent>
                    <w:p w:rsidR="00CC238C" w:rsidRDefault="008714CD" w:rsidP="00CC238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Departamento </w:t>
                      </w:r>
                      <w:r w:rsidR="00CC238C" w:rsidRPr="00192C08">
                        <w:rPr>
                          <w:sz w:val="20"/>
                        </w:rPr>
                        <w:t>de Comunicación</w:t>
                      </w:r>
                      <w:r w:rsidR="00CC238C">
                        <w:rPr>
                          <w:sz w:val="20"/>
                        </w:rPr>
                        <w:t xml:space="preserve"> AEB</w:t>
                      </w:r>
                    </w:p>
                    <w:p w:rsidR="00CC238C" w:rsidRDefault="00CC238C" w:rsidP="00CC238C">
                      <w:pPr>
                        <w:rPr>
                          <w:rStyle w:val="Hipervnculo"/>
                          <w:sz w:val="20"/>
                        </w:rPr>
                      </w:pPr>
                      <w:r w:rsidRPr="00AF3BA6">
                        <w:rPr>
                          <w:color w:val="575756"/>
                          <w:sz w:val="20"/>
                        </w:rPr>
                        <w:t>Tel.:</w:t>
                      </w:r>
                      <w:r>
                        <w:rPr>
                          <w:color w:val="575756"/>
                          <w:sz w:val="20"/>
                        </w:rPr>
                        <w:t xml:space="preserve"> </w:t>
                      </w:r>
                      <w:r w:rsidRPr="00AF3BA6">
                        <w:rPr>
                          <w:color w:val="575756"/>
                          <w:sz w:val="20"/>
                        </w:rPr>
                        <w:t xml:space="preserve">917 891 311 </w:t>
                      </w:r>
                      <w:r>
                        <w:rPr>
                          <w:color w:val="575756"/>
                          <w:sz w:val="20"/>
                        </w:rPr>
                        <w:t xml:space="preserve">– </w:t>
                      </w:r>
                      <w:hyperlink r:id="rId10" w:history="1">
                        <w:r w:rsidRPr="007969B8">
                          <w:rPr>
                            <w:rStyle w:val="Hipervnculo"/>
                            <w:sz w:val="20"/>
                          </w:rPr>
                          <w:t>comunicacion@aebanca.es</w:t>
                        </w:r>
                      </w:hyperlink>
                    </w:p>
                    <w:p w:rsidR="00CC238C" w:rsidRDefault="00CC238C" w:rsidP="00CC238C">
                      <w:pPr>
                        <w:rPr>
                          <w:rStyle w:val="Hipervnculo"/>
                          <w:sz w:val="20"/>
                        </w:rPr>
                      </w:pPr>
                    </w:p>
                    <w:p w:rsidR="00CC238C" w:rsidRDefault="00CC238C" w:rsidP="00CC238C">
                      <w:pPr>
                        <w:rPr>
                          <w:rStyle w:val="Hipervnculo"/>
                          <w:sz w:val="20"/>
                        </w:rPr>
                      </w:pPr>
                      <w:r w:rsidRPr="00CC238C">
                        <w:rPr>
                          <w:rStyle w:val="Hipervnculo"/>
                          <w:noProof/>
                          <w:sz w:val="20"/>
                        </w:rPr>
                        <w:drawing>
                          <wp:inline distT="0" distB="0" distL="0" distR="0" wp14:anchorId="60CFEEBF" wp14:editId="2406F692">
                            <wp:extent cx="5598795" cy="555273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95" cy="555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238C" w:rsidRDefault="00CC238C" w:rsidP="00CC238C">
                      <w:pPr>
                        <w:rPr>
                          <w:color w:val="575756"/>
                          <w:sz w:val="20"/>
                        </w:rPr>
                      </w:pPr>
                    </w:p>
                    <w:p w:rsidR="00CC238C" w:rsidRPr="00AF3BA6" w:rsidRDefault="00CC238C" w:rsidP="00CC238C">
                      <w:pPr>
                        <w:rPr>
                          <w:color w:val="575756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3BA6" w:rsidRPr="00AF3BA6" w:rsidRDefault="00AF3BA6" w:rsidP="00AF3BA6">
      <w:pPr>
        <w:rPr>
          <w:lang w:eastAsia="es-ES"/>
        </w:rPr>
      </w:pPr>
    </w:p>
    <w:p w:rsidR="00852DC3" w:rsidRPr="00AF3BA6" w:rsidRDefault="00852DC3" w:rsidP="00852DC3">
      <w:pPr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37961" wp14:editId="75343DED">
                <wp:simplePos x="0" y="0"/>
                <wp:positionH relativeFrom="column">
                  <wp:posOffset>-3175</wp:posOffset>
                </wp:positionH>
                <wp:positionV relativeFrom="paragraph">
                  <wp:posOffset>283210</wp:posOffset>
                </wp:positionV>
                <wp:extent cx="5788325" cy="569343"/>
                <wp:effectExtent l="0" t="0" r="0" b="25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325" cy="569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DC3" w:rsidRDefault="00852DC3" w:rsidP="00852DC3">
                            <w:pPr>
                              <w:rPr>
                                <w:sz w:val="20"/>
                              </w:rPr>
                            </w:pPr>
                            <w:r w:rsidRPr="00192C08">
                              <w:rPr>
                                <w:sz w:val="20"/>
                              </w:rPr>
                              <w:t>Departamento de Comunicación</w:t>
                            </w:r>
                            <w:r w:rsidR="00CC238C">
                              <w:rPr>
                                <w:sz w:val="20"/>
                              </w:rPr>
                              <w:t xml:space="preserve"> CECA</w:t>
                            </w:r>
                          </w:p>
                          <w:p w:rsidR="00CC238C" w:rsidRDefault="00852DC3" w:rsidP="00852DC3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  <w:r w:rsidRPr="00AF3BA6">
                              <w:rPr>
                                <w:color w:val="575756"/>
                                <w:sz w:val="20"/>
                              </w:rPr>
                              <w:t xml:space="preserve">Tel.: </w:t>
                            </w:r>
                            <w:r w:rsidR="00CC238C">
                              <w:rPr>
                                <w:color w:val="575756"/>
                                <w:sz w:val="20"/>
                              </w:rPr>
                              <w:t>915 965 482</w:t>
                            </w:r>
                            <w:r w:rsidRPr="00AF3BA6">
                              <w:rPr>
                                <w:color w:val="5757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 xml:space="preserve">– </w:t>
                            </w:r>
                            <w:hyperlink r:id="rId11" w:history="1">
                              <w:r w:rsidR="00CC238C" w:rsidRPr="007969B8">
                                <w:rPr>
                                  <w:rStyle w:val="Hipervnculo"/>
                                  <w:sz w:val="20"/>
                                </w:rPr>
                                <w:t>comunicacion@ceca.es</w:t>
                              </w:r>
                            </w:hyperlink>
                          </w:p>
                          <w:p w:rsidR="0037435F" w:rsidRDefault="0037435F" w:rsidP="00852DC3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</w:p>
                          <w:p w:rsidR="0037435F" w:rsidRDefault="0037435F" w:rsidP="00852DC3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</w:p>
                          <w:p w:rsidR="0037435F" w:rsidRDefault="0037435F" w:rsidP="00852DC3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</w:p>
                          <w:p w:rsidR="0037435F" w:rsidRDefault="0037435F" w:rsidP="00852DC3">
                            <w:pPr>
                              <w:rPr>
                                <w:rStyle w:val="Hipervnculo"/>
                                <w:sz w:val="20"/>
                              </w:rPr>
                            </w:pPr>
                          </w:p>
                          <w:p w:rsidR="00CC238C" w:rsidRDefault="00CC238C" w:rsidP="00852DC3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</w:p>
                          <w:p w:rsidR="00CC238C" w:rsidRPr="00AF3BA6" w:rsidRDefault="00CC238C" w:rsidP="00852DC3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7961" id="Cuadro de texto 3" o:spid="_x0000_s1028" type="#_x0000_t202" style="position:absolute;margin-left:-.25pt;margin-top:22.3pt;width:455.75pt;height:4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" filled="f" stroked="f" strokeweight=".5pt">
                <v:textbox>
                  <w:txbxContent>
                    <w:p w:rsidR="00852DC3" w:rsidRDefault="00852DC3" w:rsidP="00852DC3">
                      <w:pPr>
                        <w:rPr>
                          <w:sz w:val="20"/>
                        </w:rPr>
                      </w:pPr>
                      <w:r w:rsidRPr="00192C08">
                        <w:rPr>
                          <w:sz w:val="20"/>
                        </w:rPr>
                        <w:t>Departamento de Comunicación</w:t>
                      </w:r>
                      <w:r w:rsidR="00CC238C">
                        <w:rPr>
                          <w:sz w:val="20"/>
                        </w:rPr>
                        <w:t xml:space="preserve"> CECA</w:t>
                      </w:r>
                    </w:p>
                    <w:p w:rsidR="00CC238C" w:rsidRDefault="00852DC3" w:rsidP="00852DC3">
                      <w:pPr>
                        <w:rPr>
                          <w:rStyle w:val="Hipervnculo"/>
                          <w:sz w:val="20"/>
                        </w:rPr>
                      </w:pPr>
                      <w:r w:rsidRPr="00AF3BA6">
                        <w:rPr>
                          <w:color w:val="575756"/>
                          <w:sz w:val="20"/>
                        </w:rPr>
                        <w:t xml:space="preserve">Tel.: </w:t>
                      </w:r>
                      <w:r w:rsidR="00CC238C">
                        <w:rPr>
                          <w:color w:val="575756"/>
                          <w:sz w:val="20"/>
                        </w:rPr>
                        <w:t>915 965 482</w:t>
                      </w:r>
                      <w:r w:rsidRPr="00AF3BA6">
                        <w:rPr>
                          <w:color w:val="575756"/>
                          <w:sz w:val="20"/>
                        </w:rPr>
                        <w:t xml:space="preserve"> </w:t>
                      </w:r>
                      <w:r>
                        <w:rPr>
                          <w:color w:val="575756"/>
                          <w:sz w:val="20"/>
                        </w:rPr>
                        <w:t xml:space="preserve">– </w:t>
                      </w:r>
                      <w:hyperlink r:id="rId12" w:history="1">
                        <w:r w:rsidR="00CC238C" w:rsidRPr="007969B8">
                          <w:rPr>
                            <w:rStyle w:val="Hipervnculo"/>
                            <w:sz w:val="20"/>
                          </w:rPr>
                          <w:t>comunicacion@ceca.es</w:t>
                        </w:r>
                      </w:hyperlink>
                    </w:p>
                    <w:p w:rsidR="0037435F" w:rsidRDefault="0037435F" w:rsidP="00852DC3">
                      <w:pPr>
                        <w:rPr>
                          <w:rStyle w:val="Hipervnculo"/>
                          <w:sz w:val="20"/>
                        </w:rPr>
                      </w:pPr>
                    </w:p>
                    <w:p w:rsidR="0037435F" w:rsidRDefault="0037435F" w:rsidP="00852DC3">
                      <w:pPr>
                        <w:rPr>
                          <w:rStyle w:val="Hipervnculo"/>
                          <w:sz w:val="20"/>
                        </w:rPr>
                      </w:pPr>
                    </w:p>
                    <w:p w:rsidR="0037435F" w:rsidRDefault="0037435F" w:rsidP="00852DC3">
                      <w:pPr>
                        <w:rPr>
                          <w:rStyle w:val="Hipervnculo"/>
                          <w:sz w:val="20"/>
                        </w:rPr>
                      </w:pPr>
                    </w:p>
                    <w:p w:rsidR="0037435F" w:rsidRDefault="0037435F" w:rsidP="00852DC3">
                      <w:pPr>
                        <w:rPr>
                          <w:rStyle w:val="Hipervnculo"/>
                          <w:sz w:val="20"/>
                        </w:rPr>
                      </w:pPr>
                    </w:p>
                    <w:p w:rsidR="00CC238C" w:rsidRDefault="00CC238C" w:rsidP="00852DC3">
                      <w:pPr>
                        <w:rPr>
                          <w:color w:val="575756"/>
                          <w:sz w:val="20"/>
                        </w:rPr>
                      </w:pPr>
                    </w:p>
                    <w:p w:rsidR="00CC238C" w:rsidRPr="00AF3BA6" w:rsidRDefault="00CC238C" w:rsidP="00852DC3">
                      <w:pPr>
                        <w:rPr>
                          <w:color w:val="575756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DC3" w:rsidRPr="00AF3BA6" w:rsidRDefault="00852DC3" w:rsidP="00852DC3">
      <w:pPr>
        <w:rPr>
          <w:lang w:eastAsia="es-ES"/>
        </w:rPr>
      </w:pPr>
    </w:p>
    <w:p w:rsidR="00852DC3" w:rsidRPr="00AF3BA6" w:rsidRDefault="0037435F" w:rsidP="00852DC3">
      <w:pPr>
        <w:tabs>
          <w:tab w:val="left" w:pos="3682"/>
        </w:tabs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6ED3C" wp14:editId="40D7DE0E">
                <wp:simplePos x="0" y="0"/>
                <wp:positionH relativeFrom="column">
                  <wp:posOffset>8890</wp:posOffset>
                </wp:positionH>
                <wp:positionV relativeFrom="paragraph">
                  <wp:posOffset>479839</wp:posOffset>
                </wp:positionV>
                <wp:extent cx="5788025" cy="56896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35F" w:rsidRDefault="0037435F" w:rsidP="0037435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Departamento </w:t>
                            </w:r>
                            <w:r w:rsidRPr="00192C08">
                              <w:rPr>
                                <w:sz w:val="20"/>
                              </w:rPr>
                              <w:t>de Comunicación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UNAAC</w:t>
                            </w:r>
                          </w:p>
                          <w:p w:rsidR="0037435F" w:rsidRDefault="0037435F" w:rsidP="0037435F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  <w:r w:rsidRPr="00AF3BA6">
                              <w:rPr>
                                <w:color w:val="575756"/>
                                <w:sz w:val="20"/>
                              </w:rPr>
                              <w:t>Tel.: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 xml:space="preserve"> </w:t>
                            </w:r>
                            <w:r w:rsidRPr="00AF3BA6">
                              <w:rPr>
                                <w:color w:val="575756"/>
                                <w:sz w:val="20"/>
                              </w:rPr>
                              <w:t>917 8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>19 418</w:t>
                            </w:r>
                            <w:r w:rsidRPr="00AF3BA6">
                              <w:rPr>
                                <w:color w:val="5757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75756"/>
                                <w:sz w:val="20"/>
                              </w:rPr>
                              <w:t xml:space="preserve">– </w:t>
                            </w:r>
                            <w:hyperlink r:id="rId13" w:history="1">
                              <w:r w:rsidRPr="00EC76BF">
                                <w:rPr>
                                  <w:rStyle w:val="Hipervnculo"/>
                                  <w:sz w:val="20"/>
                                </w:rPr>
                                <w:t>unaac@unaac.es</w:t>
                              </w:r>
                            </w:hyperlink>
                          </w:p>
                          <w:p w:rsidR="0037435F" w:rsidRPr="00AF3BA6" w:rsidRDefault="0037435F" w:rsidP="0037435F">
                            <w:pPr>
                              <w:rPr>
                                <w:color w:val="575756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6ED3C" id="Cuadro de texto 2" o:spid="_x0000_s1029" type="#_x0000_t202" style="position:absolute;margin-left:.7pt;margin-top:37.8pt;width:455.75pt;height:44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" filled="f" stroked="f" strokeweight=".5pt">
                <v:textbox>
                  <w:txbxContent>
                    <w:p w:rsidR="0037435F" w:rsidRDefault="0037435F" w:rsidP="0037435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Departamento </w:t>
                      </w:r>
                      <w:r w:rsidRPr="00192C08">
                        <w:rPr>
                          <w:sz w:val="20"/>
                        </w:rPr>
                        <w:t>de Comunicación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UNAAC</w:t>
                      </w:r>
                    </w:p>
                    <w:p w:rsidR="0037435F" w:rsidRDefault="0037435F" w:rsidP="0037435F">
                      <w:pPr>
                        <w:rPr>
                          <w:color w:val="575756"/>
                          <w:sz w:val="20"/>
                        </w:rPr>
                      </w:pPr>
                      <w:r w:rsidRPr="00AF3BA6">
                        <w:rPr>
                          <w:color w:val="575756"/>
                          <w:sz w:val="20"/>
                        </w:rPr>
                        <w:t>Tel.:</w:t>
                      </w:r>
                      <w:r>
                        <w:rPr>
                          <w:color w:val="575756"/>
                          <w:sz w:val="20"/>
                        </w:rPr>
                        <w:t xml:space="preserve"> </w:t>
                      </w:r>
                      <w:r w:rsidRPr="00AF3BA6">
                        <w:rPr>
                          <w:color w:val="575756"/>
                          <w:sz w:val="20"/>
                        </w:rPr>
                        <w:t>917 8</w:t>
                      </w:r>
                      <w:r>
                        <w:rPr>
                          <w:color w:val="575756"/>
                          <w:sz w:val="20"/>
                        </w:rPr>
                        <w:t>19 418</w:t>
                      </w:r>
                      <w:r w:rsidRPr="00AF3BA6">
                        <w:rPr>
                          <w:color w:val="575756"/>
                          <w:sz w:val="20"/>
                        </w:rPr>
                        <w:t xml:space="preserve"> </w:t>
                      </w:r>
                      <w:r>
                        <w:rPr>
                          <w:color w:val="575756"/>
                          <w:sz w:val="20"/>
                        </w:rPr>
                        <w:t xml:space="preserve">– </w:t>
                      </w:r>
                      <w:hyperlink r:id="rId14" w:history="1">
                        <w:r w:rsidRPr="00EC76BF">
                          <w:rPr>
                            <w:rStyle w:val="Hipervnculo"/>
                            <w:sz w:val="20"/>
                          </w:rPr>
                          <w:t>unaac@unaac.es</w:t>
                        </w:r>
                      </w:hyperlink>
                    </w:p>
                    <w:p w:rsidR="0037435F" w:rsidRPr="00AF3BA6" w:rsidRDefault="0037435F" w:rsidP="0037435F">
                      <w:pPr>
                        <w:rPr>
                          <w:color w:val="575756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2DC3">
        <w:rPr>
          <w:lang w:eastAsia="es-ES"/>
        </w:rPr>
        <w:tab/>
      </w:r>
    </w:p>
    <w:sectPr w:rsidR="00852DC3" w:rsidRPr="00AF3BA6" w:rsidSect="00792CBA">
      <w:headerReference w:type="default" r:id="rId15"/>
      <w:footerReference w:type="default" r:id="rId16"/>
      <w:headerReference w:type="first" r:id="rId17"/>
      <w:pgSz w:w="11906" w:h="16838"/>
      <w:pgMar w:top="2127" w:right="919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E0" w:rsidRDefault="006163E0" w:rsidP="005E420A">
      <w:pPr>
        <w:spacing w:after="0" w:line="240" w:lineRule="auto"/>
      </w:pPr>
      <w:r>
        <w:separator/>
      </w:r>
    </w:p>
  </w:endnote>
  <w:endnote w:type="continuationSeparator" w:id="0">
    <w:p w:rsidR="006163E0" w:rsidRDefault="006163E0" w:rsidP="005E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9C" w:rsidRPr="002B539C" w:rsidRDefault="002B539C" w:rsidP="00060A7F">
    <w:pPr>
      <w:pStyle w:val="Piedepgina"/>
      <w:jc w:val="center"/>
      <w:rPr>
        <w:color w:val="575756" w:themeColor="accent2"/>
        <w:sz w:val="16"/>
        <w:szCs w:val="16"/>
      </w:rPr>
    </w:pPr>
  </w:p>
  <w:p w:rsidR="001C4B84" w:rsidRDefault="001C4B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E0" w:rsidRDefault="006163E0" w:rsidP="005E420A">
      <w:pPr>
        <w:spacing w:after="0" w:line="240" w:lineRule="auto"/>
      </w:pPr>
      <w:r>
        <w:separator/>
      </w:r>
    </w:p>
  </w:footnote>
  <w:footnote w:type="continuationSeparator" w:id="0">
    <w:p w:rsidR="006163E0" w:rsidRDefault="006163E0" w:rsidP="005E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20A" w:rsidRDefault="00192C08">
    <w:pPr>
      <w:pStyle w:val="Encabezado"/>
    </w:pPr>
    <w:r>
      <w:rPr>
        <w:noProof/>
        <w:lang w:eastAsia="es-ES"/>
      </w:rPr>
      <mc:AlternateContent>
        <mc:Choice Requires="wpc">
          <w:drawing>
            <wp:anchor distT="0" distB="0" distL="114300" distR="114300" simplePos="0" relativeHeight="251748352" behindDoc="0" locked="0" layoutInCell="1" allowOverlap="1" wp14:anchorId="20EB9660" wp14:editId="08F4B3F9">
              <wp:simplePos x="0" y="0"/>
              <wp:positionH relativeFrom="column">
                <wp:posOffset>5109210</wp:posOffset>
              </wp:positionH>
              <wp:positionV relativeFrom="paragraph">
                <wp:posOffset>7731</wp:posOffset>
              </wp:positionV>
              <wp:extent cx="648000" cy="207510"/>
              <wp:effectExtent l="0" t="0" r="0" b="2540"/>
              <wp:wrapNone/>
              <wp:docPr id="24" name="Lienzo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8" name="Freeform 20"/>
                      <wps:cNvSpPr>
                        <a:spLocks/>
                      </wps:cNvSpPr>
                      <wps:spPr bwMode="auto">
                        <a:xfrm>
                          <a:off x="-724" y="-114559"/>
                          <a:ext cx="648724" cy="437352"/>
                        </a:xfrm>
                        <a:custGeom>
                          <a:avLst/>
                          <a:gdLst>
                            <a:gd name="T0" fmla="*/ 0 w 907"/>
                            <a:gd name="T1" fmla="*/ 224 h 607"/>
                            <a:gd name="T2" fmla="*/ 0 w 907"/>
                            <a:gd name="T3" fmla="*/ 382 h 607"/>
                            <a:gd name="T4" fmla="*/ 907 w 907"/>
                            <a:gd name="T5" fmla="*/ 382 h 607"/>
                            <a:gd name="T6" fmla="*/ 907 w 907"/>
                            <a:gd name="T7" fmla="*/ 224 h 607"/>
                            <a:gd name="T8" fmla="*/ 0 w 907"/>
                            <a:gd name="T9" fmla="*/ 224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7" h="607">
                              <a:moveTo>
                                <a:pt x="0" y="224"/>
                              </a:moveTo>
                              <a:cubicBezTo>
                                <a:pt x="0" y="299"/>
                                <a:pt x="0" y="306"/>
                                <a:pt x="0" y="382"/>
                              </a:cubicBezTo>
                              <a:cubicBezTo>
                                <a:pt x="303" y="157"/>
                                <a:pt x="605" y="607"/>
                                <a:pt x="907" y="382"/>
                              </a:cubicBezTo>
                              <a:cubicBezTo>
                                <a:pt x="907" y="306"/>
                                <a:pt x="907" y="299"/>
                                <a:pt x="907" y="224"/>
                              </a:cubicBezTo>
                              <a:cubicBezTo>
                                <a:pt x="605" y="450"/>
                                <a:pt x="303" y="0"/>
                                <a:pt x="0" y="2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17383" tIns="8691" rIns="17383" bIns="8691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6234D" id="Lienzo 24" o:spid="_x0000_s1026" editas="canvas" style="position:absolute;margin-left:402.3pt;margin-top:.6pt;width:51pt;height:16.35pt;z-index:251748352" coordsize="647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77;height:2070;visibility:visible;mso-wrap-style:square">
                <v:fill o:detectmouseclick="t"/>
                <v:path o:connecttype="none"/>
              </v:shape>
              <v:shape id="Freeform 20" o:spid="_x0000_s1028" style="position:absolute;left:-7;top:-1145;width:6487;height:4372;visibility:visible;mso-wrap-style:square;v-text-anchor:top" coordsize="907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" path="m,224v,75,,82,,158c303,157,605,607,907,382v,-76,,-83,,-158c605,450,303,,,224xe" fillcolor="#82bc00 [3212]" stroked="f">
                <v:path arrowok="t" o:connecttype="custom" o:connectlocs="0,161395;0,275236;648724,275236;648724,161395;0,161395" o:connectangles="0,0,0,0,0"/>
              </v:shape>
            </v:group>
          </w:pict>
        </mc:Fallback>
      </mc:AlternateContent>
    </w:r>
    <w:r w:rsidR="00B133DB"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AB4" w:rsidRDefault="00192C08" w:rsidP="00192C0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posOffset>4861255</wp:posOffset>
          </wp:positionH>
          <wp:positionV relativeFrom="paragraph">
            <wp:posOffset>18860</wp:posOffset>
          </wp:positionV>
          <wp:extent cx="863600" cy="67373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1903"/>
    <w:multiLevelType w:val="hybridMultilevel"/>
    <w:tmpl w:val="9F74C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13F3D"/>
    <w:multiLevelType w:val="hybridMultilevel"/>
    <w:tmpl w:val="EB5E2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C3"/>
    <w:rsid w:val="00017381"/>
    <w:rsid w:val="00037F69"/>
    <w:rsid w:val="00040F97"/>
    <w:rsid w:val="00060A7F"/>
    <w:rsid w:val="000A3BA6"/>
    <w:rsid w:val="000C1772"/>
    <w:rsid w:val="000E1D9D"/>
    <w:rsid w:val="000F52CD"/>
    <w:rsid w:val="001075EF"/>
    <w:rsid w:val="00126B00"/>
    <w:rsid w:val="00150AA3"/>
    <w:rsid w:val="00192C08"/>
    <w:rsid w:val="001C4B84"/>
    <w:rsid w:val="00202B55"/>
    <w:rsid w:val="002B539C"/>
    <w:rsid w:val="00311330"/>
    <w:rsid w:val="00315370"/>
    <w:rsid w:val="00346C77"/>
    <w:rsid w:val="0037435F"/>
    <w:rsid w:val="003847CD"/>
    <w:rsid w:val="003B3BD8"/>
    <w:rsid w:val="003D0268"/>
    <w:rsid w:val="00432C68"/>
    <w:rsid w:val="00433DBE"/>
    <w:rsid w:val="004678F0"/>
    <w:rsid w:val="00482598"/>
    <w:rsid w:val="00507D3C"/>
    <w:rsid w:val="00512AB8"/>
    <w:rsid w:val="00570133"/>
    <w:rsid w:val="00571128"/>
    <w:rsid w:val="0058430F"/>
    <w:rsid w:val="0058568B"/>
    <w:rsid w:val="005E420A"/>
    <w:rsid w:val="00600B25"/>
    <w:rsid w:val="0061368D"/>
    <w:rsid w:val="006163E0"/>
    <w:rsid w:val="00675585"/>
    <w:rsid w:val="006A7F2C"/>
    <w:rsid w:val="006B7F2D"/>
    <w:rsid w:val="006F6570"/>
    <w:rsid w:val="00701DCA"/>
    <w:rsid w:val="00732D32"/>
    <w:rsid w:val="00780C62"/>
    <w:rsid w:val="00792CBA"/>
    <w:rsid w:val="007E01D0"/>
    <w:rsid w:val="007E4AFE"/>
    <w:rsid w:val="007F1A02"/>
    <w:rsid w:val="007F6B12"/>
    <w:rsid w:val="00810EF7"/>
    <w:rsid w:val="008151F6"/>
    <w:rsid w:val="00822487"/>
    <w:rsid w:val="00852DC3"/>
    <w:rsid w:val="00862AAA"/>
    <w:rsid w:val="008714CD"/>
    <w:rsid w:val="00877F58"/>
    <w:rsid w:val="008C3640"/>
    <w:rsid w:val="0091367A"/>
    <w:rsid w:val="00997AB4"/>
    <w:rsid w:val="009E1E03"/>
    <w:rsid w:val="009F0E67"/>
    <w:rsid w:val="009F1467"/>
    <w:rsid w:val="00AA272A"/>
    <w:rsid w:val="00AB58CC"/>
    <w:rsid w:val="00AF3BA6"/>
    <w:rsid w:val="00B133DB"/>
    <w:rsid w:val="00B548C9"/>
    <w:rsid w:val="00BA5585"/>
    <w:rsid w:val="00C05945"/>
    <w:rsid w:val="00C527D7"/>
    <w:rsid w:val="00CC238C"/>
    <w:rsid w:val="00CF502C"/>
    <w:rsid w:val="00D07B83"/>
    <w:rsid w:val="00D51C6F"/>
    <w:rsid w:val="00D67F2A"/>
    <w:rsid w:val="00DC7315"/>
    <w:rsid w:val="00DF29AB"/>
    <w:rsid w:val="00E22BF2"/>
    <w:rsid w:val="00E35006"/>
    <w:rsid w:val="00EA7905"/>
    <w:rsid w:val="00EC724E"/>
    <w:rsid w:val="00EF171F"/>
    <w:rsid w:val="00F95FCC"/>
    <w:rsid w:val="00FC71C5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DADC9B"/>
  <w15:chartTrackingRefBased/>
  <w15:docId w15:val="{3DF13A2F-9DE9-4FFE-92A5-963C2BA7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0A"/>
  </w:style>
  <w:style w:type="paragraph" w:styleId="Piedepgina">
    <w:name w:val="footer"/>
    <w:basedOn w:val="Normal"/>
    <w:link w:val="PiedepginaCar"/>
    <w:uiPriority w:val="99"/>
    <w:unhideWhenUsed/>
    <w:rsid w:val="005E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0A"/>
  </w:style>
  <w:style w:type="character" w:styleId="Hipervnculo">
    <w:name w:val="Hyperlink"/>
    <w:basedOn w:val="Fuentedeprrafopredeter"/>
    <w:uiPriority w:val="99"/>
    <w:unhideWhenUsed/>
    <w:rsid w:val="00B133DB"/>
    <w:rPr>
      <w:color w:val="82BC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4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3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C23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F171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aebanca.es" TargetMode="External"/><Relationship Id="rId13" Type="http://schemas.openxmlformats.org/officeDocument/2006/relationships/hyperlink" Target="mailto:unaac@unaac.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unicacion@ceca.e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cion@ceca.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omunicacion@aebanca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mailto:unaac@unaac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\PLANTILLAS\nota%20de%20prensa_AEB.dotx" TargetMode="External"/></Relationships>
</file>

<file path=word/theme/theme1.xml><?xml version="1.0" encoding="utf-8"?>
<a:theme xmlns:a="http://schemas.openxmlformats.org/drawingml/2006/main" name="Tema de Office">
  <a:themeElements>
    <a:clrScheme name="AEB">
      <a:dk1>
        <a:srgbClr val="006852"/>
      </a:dk1>
      <a:lt1>
        <a:srgbClr val="82BC00"/>
      </a:lt1>
      <a:dk2>
        <a:srgbClr val="E2231A"/>
      </a:dk2>
      <a:lt2>
        <a:srgbClr val="0082CA"/>
      </a:lt2>
      <a:accent1>
        <a:srgbClr val="FFB819"/>
      </a:accent1>
      <a:accent2>
        <a:srgbClr val="575756"/>
      </a:accent2>
      <a:accent3>
        <a:srgbClr val="878787"/>
      </a:accent3>
      <a:accent4>
        <a:srgbClr val="FFB819"/>
      </a:accent4>
      <a:accent5>
        <a:srgbClr val="0082CA"/>
      </a:accent5>
      <a:accent6>
        <a:srgbClr val="70AD47"/>
      </a:accent6>
      <a:hlink>
        <a:srgbClr val="82BC00"/>
      </a:hlink>
      <a:folHlink>
        <a:srgbClr val="006852"/>
      </a:folHlink>
    </a:clrScheme>
    <a:fontScheme name="AE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de prensa_AEB.dotx</Template>
  <TotalTime>8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maalonso</dc:creator>
  <cp:keywords/>
  <dc:description/>
  <cp:lastModifiedBy>Mª Ángeles Alonso</cp:lastModifiedBy>
  <cp:revision>5</cp:revision>
  <dcterms:created xsi:type="dcterms:W3CDTF">2018-10-19T07:56:00Z</dcterms:created>
  <dcterms:modified xsi:type="dcterms:W3CDTF">2018-11-08T15:24:00Z</dcterms:modified>
</cp:coreProperties>
</file>